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74" w:rsidRPr="004056D3" w:rsidRDefault="004056D3" w:rsidP="004056D3">
      <w:pPr>
        <w:jc w:val="center"/>
        <w:rPr>
          <w:b/>
          <w:sz w:val="24"/>
        </w:rPr>
      </w:pPr>
      <w:proofErr w:type="gramStart"/>
      <w:r w:rsidRPr="004056D3">
        <w:rPr>
          <w:b/>
          <w:sz w:val="24"/>
          <w:lang w:val="pt-PT"/>
        </w:rPr>
        <w:t>Doenças Infecciosas de Preocupação para</w:t>
      </w:r>
      <w:proofErr w:type="gramEnd"/>
      <w:r w:rsidRPr="004056D3">
        <w:rPr>
          <w:b/>
          <w:sz w:val="24"/>
          <w:lang w:val="pt-PT"/>
        </w:rPr>
        <w:t xml:space="preserve"> a Saúde Pública no PDE</w:t>
      </w:r>
    </w:p>
    <w:p w:rsidR="00CB6A74" w:rsidRPr="004056D3" w:rsidRDefault="004056D3" w:rsidP="004056D3">
      <w:r w:rsidRPr="004056D3">
        <w:rPr>
          <w:i/>
          <w:lang w:val="pt-PT"/>
        </w:rPr>
        <w:t>Contexto:</w:t>
      </w:r>
      <w:r w:rsidR="00CB6A74" w:rsidRPr="004056D3">
        <w:rPr>
          <w:i/>
        </w:rPr>
        <w:t xml:space="preserve"> </w:t>
      </w:r>
      <w:r w:rsidRPr="004056D3">
        <w:rPr>
          <w:lang w:val="pt-PT"/>
        </w:rPr>
        <w:t>Ao responder a uma notificação de um doente, é útil conhecer os antecedentes de doença de potencial preocupação para a saúde pública.</w:t>
      </w:r>
      <w:r w:rsidR="00CB6A74" w:rsidRPr="004056D3">
        <w:t xml:space="preserve"> </w:t>
      </w:r>
      <w:r w:rsidRPr="004056D3">
        <w:rPr>
          <w:lang w:val="pt-PT"/>
        </w:rPr>
        <w:t>Os antecedentes incluem os sinais e sintomas da doença, o período de incubação, as áreas geográficas onde a doença está presente e as vias de transmissão.</w:t>
      </w:r>
    </w:p>
    <w:p w:rsidR="00CB6A74" w:rsidRPr="004056D3" w:rsidRDefault="00CB6A74" w:rsidP="004056D3">
      <w:r>
        <w:rPr>
          <w:i/>
        </w:rPr>
        <w:t xml:space="preserve"> </w:t>
      </w:r>
      <w:r w:rsidR="004056D3" w:rsidRPr="004056D3">
        <w:rPr>
          <w:i/>
          <w:lang w:val="pt-PT"/>
        </w:rPr>
        <w:t>Utilização:</w:t>
      </w:r>
      <w:r w:rsidRPr="004056D3">
        <w:rPr>
          <w:i/>
        </w:rPr>
        <w:t xml:space="preserve"> </w:t>
      </w:r>
      <w:r w:rsidR="004056D3" w:rsidRPr="004056D3">
        <w:rPr>
          <w:lang w:val="pt-PT"/>
        </w:rPr>
        <w:t>Queira utilizar esta ferramenta de trabalho no seu POE e afixá-la numa parede onde possa ser rotineiramente referenciada.</w:t>
      </w:r>
    </w:p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p w:rsidR="000418D9" w:rsidRDefault="000418D9"/>
    <w:tbl>
      <w:tblPr>
        <w:tblStyle w:val="Tabelacomgrelha"/>
        <w:tblpPr w:leftFromText="180" w:rightFromText="180" w:vertAnchor="page" w:horzAnchor="margin" w:tblpY="781"/>
        <w:tblW w:w="14125" w:type="dxa"/>
        <w:tblLayout w:type="fixed"/>
        <w:tblLook w:val="04A0"/>
      </w:tblPr>
      <w:tblGrid>
        <w:gridCol w:w="893"/>
        <w:gridCol w:w="5312"/>
        <w:gridCol w:w="1713"/>
        <w:gridCol w:w="3147"/>
        <w:gridCol w:w="3060"/>
      </w:tblGrid>
      <w:tr w:rsidR="000418D9" w:rsidRPr="00AA1A21" w:rsidTr="00B151C2">
        <w:tc>
          <w:tcPr>
            <w:tcW w:w="893" w:type="dxa"/>
            <w:shd w:val="clear" w:color="auto" w:fill="E7E6E6" w:themeFill="background2"/>
          </w:tcPr>
          <w:p w:rsidR="000418D9" w:rsidRPr="004056D3" w:rsidRDefault="000418D9" w:rsidP="00B151C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bookmarkStart w:id="0" w:name="_Hlk37322507"/>
            <w:r w:rsidRPr="004056D3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Doença</w:t>
            </w:r>
          </w:p>
        </w:tc>
        <w:tc>
          <w:tcPr>
            <w:tcW w:w="5312" w:type="dxa"/>
            <w:shd w:val="clear" w:color="auto" w:fill="E7E6E6" w:themeFill="background2"/>
          </w:tcPr>
          <w:p w:rsidR="000418D9" w:rsidRPr="004056D3" w:rsidRDefault="000418D9" w:rsidP="00B151C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56D3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Sinais e sintomas</w:t>
            </w:r>
          </w:p>
        </w:tc>
        <w:tc>
          <w:tcPr>
            <w:tcW w:w="1713" w:type="dxa"/>
            <w:shd w:val="clear" w:color="auto" w:fill="E7E6E6" w:themeFill="background2"/>
          </w:tcPr>
          <w:p w:rsidR="000418D9" w:rsidRPr="004056D3" w:rsidRDefault="000418D9" w:rsidP="00B151C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56D3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Período de incubação</w:t>
            </w:r>
          </w:p>
        </w:tc>
        <w:tc>
          <w:tcPr>
            <w:tcW w:w="3147" w:type="dxa"/>
            <w:shd w:val="clear" w:color="auto" w:fill="E7E6E6" w:themeFill="background2"/>
          </w:tcPr>
          <w:p w:rsidR="000418D9" w:rsidRPr="004056D3" w:rsidRDefault="000418D9" w:rsidP="00B151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056D3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Distribuição geográfica</w:t>
            </w:r>
          </w:p>
        </w:tc>
        <w:tc>
          <w:tcPr>
            <w:tcW w:w="3060" w:type="dxa"/>
            <w:shd w:val="clear" w:color="auto" w:fill="E7E6E6" w:themeFill="background2"/>
          </w:tcPr>
          <w:p w:rsidR="000418D9" w:rsidRPr="004056D3" w:rsidRDefault="000418D9" w:rsidP="00B151C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56D3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Transmissão</w:t>
            </w:r>
          </w:p>
        </w:tc>
      </w:tr>
      <w:tr w:rsidR="000418D9" w:rsidRPr="00AA1A21" w:rsidTr="00B151C2">
        <w:trPr>
          <w:trHeight w:val="1412"/>
        </w:trPr>
        <w:tc>
          <w:tcPr>
            <w:tcW w:w="893" w:type="dxa"/>
          </w:tcPr>
          <w:p w:rsidR="000418D9" w:rsidRPr="004056D3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Cólera</w:t>
            </w:r>
          </w:p>
        </w:tc>
        <w:tc>
          <w:tcPr>
            <w:tcW w:w="5312" w:type="dxa"/>
          </w:tcPr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Pode ser ligeiro em muitos casos (náusea, diarreia manejável) 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Grave (5-10% de pessoas infectadas):</w:t>
            </w:r>
            <w:r w:rsidRPr="004056D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Diarreia aquosa intensa (“fezes com consistência e cor de água de arroz”)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Vómito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Batida cardíaca acelerada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Perda de elasticidade da pele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Pressão arterial baixa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Sede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Cãibra muscular</w:t>
            </w:r>
          </w:p>
          <w:p w:rsidR="000418D9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Inquietação </w:t>
            </w:r>
            <w:r w:rsidRPr="004056D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056D3" w:rsidRDefault="000418D9" w:rsidP="00B151C2">
            <w:pPr>
              <w:pStyle w:val="PargrafodaLista"/>
              <w:numPr>
                <w:ilvl w:val="1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Irritabilidade</w:t>
            </w:r>
            <w:r w:rsidRPr="004056D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</w:tcPr>
          <w:p w:rsidR="000418D9" w:rsidRPr="004056D3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De algumas horas a 5 dias </w:t>
            </w:r>
          </w:p>
          <w:p w:rsidR="000418D9" w:rsidRPr="00AA1A21" w:rsidRDefault="000418D9" w:rsidP="00B151C2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418D9" w:rsidRPr="004056D3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Nem sempre informativo ao fazer um diagnóstico clínico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Os surtos passados ocorreram principalmente nos hemisférios equatorial e austral, especificamente na África Subsaariana e no Sul e Sudeste Asiático.</w:t>
            </w:r>
          </w:p>
        </w:tc>
        <w:tc>
          <w:tcPr>
            <w:tcW w:w="3060" w:type="dxa"/>
          </w:tcPr>
          <w:p w:rsidR="000418D9" w:rsidRPr="004056D3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Ingestão de alimento ou água contaminados </w:t>
            </w:r>
          </w:p>
          <w:p w:rsidR="000418D9" w:rsidRPr="00AA1A21" w:rsidRDefault="000418D9" w:rsidP="00B151C2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418D9" w:rsidRPr="00AA1A21" w:rsidTr="00B151C2">
        <w:trPr>
          <w:trHeight w:val="1412"/>
        </w:trPr>
        <w:tc>
          <w:tcPr>
            <w:tcW w:w="893" w:type="dxa"/>
          </w:tcPr>
          <w:p w:rsidR="000418D9" w:rsidRPr="004056D3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Meningite cérebroespinal</w:t>
            </w:r>
          </w:p>
        </w:tc>
        <w:tc>
          <w:tcPr>
            <w:tcW w:w="5312" w:type="dxa"/>
          </w:tcPr>
          <w:p w:rsidR="000418D9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Pescoço rígido</w:t>
            </w:r>
            <w:r w:rsidRPr="004056D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Febre alta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Sensibilidade à luz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Confusão</w:t>
            </w:r>
          </w:p>
          <w:p w:rsidR="000418D9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E21B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Dores de cabeça</w:t>
            </w:r>
            <w:r w:rsidRPr="00405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E21B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056D3" w:rsidRDefault="000418D9" w:rsidP="00B151C2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Vómito</w:t>
            </w:r>
          </w:p>
        </w:tc>
        <w:tc>
          <w:tcPr>
            <w:tcW w:w="1713" w:type="dxa"/>
          </w:tcPr>
          <w:p w:rsidR="000418D9" w:rsidRPr="004056D3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2-10 </w:t>
            </w:r>
            <w:proofErr w:type="gramStart"/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  <w:r w:rsidRPr="004056D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(a média é de 4 dias)</w:t>
            </w:r>
          </w:p>
        </w:tc>
        <w:tc>
          <w:tcPr>
            <w:tcW w:w="3147" w:type="dxa"/>
          </w:tcPr>
          <w:p w:rsidR="000418D9" w:rsidRPr="00D05432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A distribuição geográfica e o potencial epidémico diferem de acordo com o grupo </w:t>
            </w:r>
            <w:proofErr w:type="gramStart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serológico .</w:t>
            </w:r>
            <w:proofErr w:type="gramEnd"/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O maior fardo da doença meningocócica ocorre numa área da África subsaariana conhecida como a cintura da meningite, que se estende do Senegal a oeste até à Etiópia a leste (26 países).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Durante a estação seca entre Dezembro e Junho, ventos de poeira, noites frias e infecções das vias respiratórias superiores combinam-se para danificar a mucosa nasofaríngea, aumentando o risco de doença meningocócica.</w:t>
            </w:r>
          </w:p>
        </w:tc>
        <w:tc>
          <w:tcPr>
            <w:tcW w:w="3060" w:type="dxa"/>
          </w:tcPr>
          <w:p w:rsidR="000418D9" w:rsidRPr="00D05432" w:rsidRDefault="000418D9" w:rsidP="00B151C2">
            <w:pPr>
              <w:pStyle w:val="PargrafodaLista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De pessoa para pessoa (especialmente durante ajuntamento em massa), gotículas, secreções</w:t>
            </w:r>
          </w:p>
        </w:tc>
      </w:tr>
      <w:tr w:rsidR="000418D9" w:rsidRPr="00AA1A21" w:rsidTr="00B151C2">
        <w:trPr>
          <w:trHeight w:val="188"/>
        </w:trPr>
        <w:tc>
          <w:tcPr>
            <w:tcW w:w="893" w:type="dxa"/>
          </w:tcPr>
          <w:p w:rsidR="000418D9" w:rsidRPr="00D05432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COVID-19</w:t>
            </w:r>
          </w:p>
        </w:tc>
        <w:tc>
          <w:tcPr>
            <w:tcW w:w="5312" w:type="dxa"/>
          </w:tcPr>
          <w:p w:rsidR="000418D9" w:rsidRPr="005263D3" w:rsidRDefault="000418D9" w:rsidP="00B151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Sintomas mais comuns:</w:t>
            </w:r>
            <w:r w:rsidRPr="00D0543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Febre 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Tosse seca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Cansaço</w:t>
            </w:r>
          </w:p>
          <w:p w:rsidR="000418D9" w:rsidRPr="00D05432" w:rsidRDefault="000418D9" w:rsidP="00B151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Sintomas menos comu</w:t>
            </w:r>
            <w:r>
              <w:rPr>
                <w:rFonts w:ascii="Calibri" w:hAnsi="Calibri" w:cs="Calibri"/>
                <w:sz w:val="20"/>
                <w:szCs w:val="20"/>
                <w:lang w:val="pt-PT"/>
              </w:rPr>
              <w:t>n</w:t>
            </w: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s: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Dores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Garganta irritada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Diarreia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Conjuntivite 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Dor de cabeça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Perda de olfacto e paladar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Uma erupção cutânea ou descoloração dos dedos das mãos e pés    </w:t>
            </w:r>
          </w:p>
          <w:p w:rsidR="000418D9" w:rsidRPr="00D05432" w:rsidRDefault="000418D9" w:rsidP="00B151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Sintomas graves</w:t>
            </w:r>
            <w:proofErr w:type="gramEnd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: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Dificuldade em respirar ou falta de ar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dor</w:t>
            </w:r>
            <w:proofErr w:type="gramEnd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ou pressão no peito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perda</w:t>
            </w:r>
            <w:proofErr w:type="gramEnd"/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da fala ou do movimento</w:t>
            </w:r>
          </w:p>
        </w:tc>
        <w:tc>
          <w:tcPr>
            <w:tcW w:w="1713" w:type="dxa"/>
          </w:tcPr>
          <w:p w:rsidR="000418D9" w:rsidRPr="00D05432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2-14days dias (a média é de 5-6 dias)</w:t>
            </w:r>
          </w:p>
        </w:tc>
        <w:tc>
          <w:tcPr>
            <w:tcW w:w="3147" w:type="dxa"/>
          </w:tcPr>
          <w:p w:rsidR="000418D9" w:rsidRPr="00D05432" w:rsidRDefault="000418D9" w:rsidP="00B151C2">
            <w:pPr>
              <w:pStyle w:val="PargrafodaLista"/>
              <w:numPr>
                <w:ilvl w:val="0"/>
                <w:numId w:val="40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0543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Foram relatados casos em África, Ásia, América, Europa, Oceânia, e outros como um transporte internacional no Japão.</w:t>
            </w:r>
          </w:p>
        </w:tc>
        <w:tc>
          <w:tcPr>
            <w:tcW w:w="3060" w:type="dxa"/>
          </w:tcPr>
          <w:p w:rsidR="000418D9" w:rsidRPr="00D05432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0543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 COVID-19 propaga-se através de gotículas respiratórias quando uma pessoa infectada tosse, espirra ou fala.</w:t>
            </w:r>
            <w:r w:rsidRPr="00D0543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0418D9" w:rsidRPr="00D05432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0543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As pessoas também podem ser infectadas ao tocar numa superfície contaminada e depois nos olhos, boca ou nariz.</w:t>
            </w:r>
          </w:p>
        </w:tc>
      </w:tr>
      <w:tr w:rsidR="000418D9" w:rsidRPr="00AA1A21" w:rsidTr="00B151C2">
        <w:trPr>
          <w:trHeight w:val="188"/>
        </w:trPr>
        <w:tc>
          <w:tcPr>
            <w:tcW w:w="893" w:type="dxa"/>
          </w:tcPr>
          <w:p w:rsidR="000418D9" w:rsidRPr="00D05432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Febre da dengue </w:t>
            </w:r>
          </w:p>
        </w:tc>
        <w:tc>
          <w:tcPr>
            <w:tcW w:w="5312" w:type="dxa"/>
          </w:tcPr>
          <w:p w:rsidR="000418D9" w:rsidRPr="00D05432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05432">
              <w:rPr>
                <w:rFonts w:ascii="Calibri" w:hAnsi="Calibri" w:cs="Calibri"/>
                <w:sz w:val="20"/>
                <w:szCs w:val="20"/>
                <w:lang w:val="pt-PT"/>
              </w:rPr>
              <w:t>Dores de cabeça fortes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Dor na parte traseira dos olhos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Dores musculares e articulares</w:t>
            </w:r>
            <w:r w:rsidRPr="004F676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Náusea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Vómito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Glândulas inchadas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4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Erupção cutânea</w:t>
            </w:r>
          </w:p>
        </w:tc>
        <w:tc>
          <w:tcPr>
            <w:tcW w:w="1713" w:type="dxa"/>
          </w:tcPr>
          <w:p w:rsidR="000418D9" w:rsidRPr="004F676B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5-7days (4 -10 dias)</w:t>
            </w:r>
          </w:p>
        </w:tc>
        <w:tc>
          <w:tcPr>
            <w:tcW w:w="3147" w:type="dxa"/>
          </w:tcPr>
          <w:p w:rsidR="000418D9" w:rsidRPr="004F676B" w:rsidRDefault="000418D9" w:rsidP="00B151C2">
            <w:pPr>
              <w:pStyle w:val="PargrafodaLista"/>
              <w:numPr>
                <w:ilvl w:val="0"/>
                <w:numId w:val="40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 dengue é endémica para as populações urbanas nas zonas tropicais.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40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Grandes epidemias têm ocorrido com menos frequência em regiões subtropicais, e raramente em cidades de regiões temperadas.</w:t>
            </w:r>
          </w:p>
          <w:p w:rsidR="000418D9" w:rsidRPr="00F1003F" w:rsidRDefault="000418D9" w:rsidP="00B151C2">
            <w:pPr>
              <w:pStyle w:val="PargrafodaLista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F09A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0418D9" w:rsidRPr="004F676B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O vírus é transmitido pelo mosquito de água doce, </w:t>
            </w:r>
            <w:r w:rsidRPr="004F676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pt-PT"/>
              </w:rPr>
              <w:t>Aedes aegypti</w:t>
            </w: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.</w:t>
            </w: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Também pode ocorrer transmissão vertical</w:t>
            </w:r>
          </w:p>
        </w:tc>
      </w:tr>
      <w:bookmarkEnd w:id="0"/>
      <w:tr w:rsidR="000418D9" w:rsidRPr="00AA1A21" w:rsidTr="00B151C2">
        <w:trPr>
          <w:trHeight w:val="188"/>
        </w:trPr>
        <w:tc>
          <w:tcPr>
            <w:tcW w:w="893" w:type="dxa"/>
          </w:tcPr>
          <w:p w:rsidR="000418D9" w:rsidRPr="004F676B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Doença pelo Vírus Ébola</w:t>
            </w:r>
          </w:p>
        </w:tc>
        <w:tc>
          <w:tcPr>
            <w:tcW w:w="5312" w:type="dxa"/>
          </w:tcPr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Febre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Dores de cabeça fortes</w:t>
            </w:r>
            <w:r w:rsidRPr="004F676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Cansaço/fraqueza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Dores musculares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Diarreia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Vómito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Dor de estômago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Hemorragia/hematoma inexplicável</w:t>
            </w:r>
            <w:r w:rsidRPr="004F676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</w:tcPr>
          <w:p w:rsidR="000418D9" w:rsidRPr="004F676B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21 </w:t>
            </w:r>
            <w:proofErr w:type="gramStart"/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(média:</w:t>
            </w:r>
            <w:r w:rsidRPr="004F676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8-10 dias)</w:t>
            </w:r>
          </w:p>
        </w:tc>
        <w:tc>
          <w:tcPr>
            <w:tcW w:w="3147" w:type="dxa"/>
          </w:tcPr>
          <w:p w:rsidR="000418D9" w:rsidRPr="004F676B" w:rsidRDefault="000418D9" w:rsidP="00B151C2">
            <w:pPr>
              <w:pStyle w:val="PargrafodaLista"/>
              <w:numPr>
                <w:ilvl w:val="0"/>
                <w:numId w:val="40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Entre os países onde foram notificados casos de DVE adquiridos domesticamente incluem-se a República do Congo, Côte d'Ivoire, República Democrática do Congo, Gabão, Uganda, República da Guiné, Libéria e Serra Leoa.</w:t>
            </w:r>
          </w:p>
        </w:tc>
        <w:tc>
          <w:tcPr>
            <w:tcW w:w="3060" w:type="dxa"/>
          </w:tcPr>
          <w:p w:rsidR="000418D9" w:rsidRPr="004F676B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Contacto directo com fluidos corporais de uma pessoa infectada apresentando sintomas.</w:t>
            </w: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0418D9" w:rsidRPr="004F676B" w:rsidRDefault="000418D9" w:rsidP="00B151C2">
            <w:pPr>
              <w:pStyle w:val="PargrafodaLista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4F676B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Contacto directo com animais infectados (por exemplo, morcegos, primatas)</w:t>
            </w:r>
          </w:p>
          <w:p w:rsidR="000418D9" w:rsidRPr="00AA1A21" w:rsidRDefault="000418D9" w:rsidP="00B151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418D9" w:rsidRPr="00AA1A21" w:rsidTr="00B151C2">
        <w:tc>
          <w:tcPr>
            <w:tcW w:w="893" w:type="dxa"/>
          </w:tcPr>
          <w:p w:rsidR="000418D9" w:rsidRPr="004F676B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4F676B">
              <w:rPr>
                <w:rFonts w:ascii="Calibri" w:hAnsi="Calibri" w:cs="Calibri"/>
                <w:sz w:val="20"/>
                <w:szCs w:val="20"/>
                <w:lang w:val="pt-PT"/>
              </w:rPr>
              <w:t>Febre de Lassa</w:t>
            </w:r>
          </w:p>
        </w:tc>
        <w:tc>
          <w:tcPr>
            <w:tcW w:w="5312" w:type="dxa"/>
          </w:tcPr>
          <w:p w:rsidR="000418D9" w:rsidRPr="00A86E3C" w:rsidRDefault="000418D9" w:rsidP="00B151C2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Suave e não diagnosticado em 80% dos casos: febre, fraqueza geral e dores de cabeça</w:t>
            </w:r>
          </w:p>
          <w:p w:rsidR="000418D9" w:rsidRPr="00A86E3C" w:rsidRDefault="000418D9" w:rsidP="00B151C2">
            <w:pPr>
              <w:numPr>
                <w:ilvl w:val="0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Sintomas graves</w:t>
            </w:r>
            <w:proofErr w:type="gramEnd"/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: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Hemorragia (gengivas, olhos ou nariz)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Dificuldade respiratória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Vómito frequente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Inchaço facial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Dores no peito, costas e abdómen</w:t>
            </w:r>
          </w:p>
          <w:p w:rsidR="000418D9" w:rsidRPr="00A86E3C" w:rsidRDefault="000418D9" w:rsidP="00B151C2">
            <w:pPr>
              <w:numPr>
                <w:ilvl w:val="1"/>
                <w:numId w:val="18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Estado de choque</w:t>
            </w:r>
          </w:p>
        </w:tc>
        <w:tc>
          <w:tcPr>
            <w:tcW w:w="1713" w:type="dxa"/>
          </w:tcPr>
          <w:p w:rsidR="000418D9" w:rsidRPr="00A86E3C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 xml:space="preserve">1- 3 </w:t>
            </w:r>
            <w:proofErr w:type="gramStart"/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semanas</w:t>
            </w:r>
            <w:proofErr w:type="gramEnd"/>
          </w:p>
          <w:p w:rsidR="000418D9" w:rsidRPr="00AA1A21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47" w:type="dxa"/>
          </w:tcPr>
          <w:p w:rsidR="000418D9" w:rsidRPr="00A86E3C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África Ocidental com doença endémica na Nigéria, República da Guiné, Serra Leoa e Libéria</w:t>
            </w:r>
            <w:r w:rsidRPr="00A86E3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</w:tcPr>
          <w:p w:rsidR="000418D9" w:rsidRPr="00A86E3C" w:rsidRDefault="000418D9" w:rsidP="00B151C2">
            <w:pPr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Contacto com fezes ou urina de ratos multimamato (incluindo transmissão por via de aerossol através da limpeza de áreas com excrementos de ratazana)</w:t>
            </w:r>
          </w:p>
          <w:p w:rsidR="000418D9" w:rsidRPr="00A86E3C" w:rsidRDefault="000418D9" w:rsidP="00B151C2">
            <w:pPr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>Transmissão entre humanos através da exposição a fluidos corporais de pessoa infectada</w:t>
            </w:r>
          </w:p>
        </w:tc>
      </w:tr>
      <w:tr w:rsidR="000418D9" w:rsidRPr="00AA1A21" w:rsidTr="00B151C2">
        <w:tc>
          <w:tcPr>
            <w:tcW w:w="893" w:type="dxa"/>
          </w:tcPr>
          <w:p w:rsidR="000418D9" w:rsidRPr="00A86E3C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A86E3C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Paludismo </w:t>
            </w:r>
          </w:p>
        </w:tc>
        <w:tc>
          <w:tcPr>
            <w:tcW w:w="5312" w:type="dxa"/>
          </w:tcPr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Febre/calafrios/suores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Dores de cabeça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Náusea e vómito 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Dores no corpo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Fraqueza geral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Pode incluir icterícia ligeira </w:t>
            </w:r>
          </w:p>
          <w:p w:rsidR="000418D9" w:rsidRPr="008D4956" w:rsidRDefault="000418D9" w:rsidP="00B151C2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Paludismo grave pode levar à falência de órgãos e morte</w:t>
            </w:r>
          </w:p>
        </w:tc>
        <w:tc>
          <w:tcPr>
            <w:tcW w:w="1713" w:type="dxa"/>
          </w:tcPr>
          <w:p w:rsidR="000418D9" w:rsidRPr="008D4956" w:rsidRDefault="000418D9" w:rsidP="00B151C2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Geralmente 7-30 dias, mas pode ir até um ano</w:t>
            </w:r>
          </w:p>
          <w:p w:rsidR="000418D9" w:rsidRPr="00AA1A21" w:rsidRDefault="000418D9" w:rsidP="00B151C2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47" w:type="dxa"/>
          </w:tcPr>
          <w:p w:rsidR="000418D9" w:rsidRPr="008D4956" w:rsidRDefault="000418D9" w:rsidP="00B151C2">
            <w:pPr>
              <w:pStyle w:val="Textodecomentrio"/>
              <w:numPr>
                <w:ilvl w:val="0"/>
                <w:numId w:val="41"/>
              </w:numPr>
              <w:rPr>
                <w:rFonts w:ascii="Calibri" w:hAnsi="Calibri" w:cs="Calibri"/>
                <w:color w:val="333333"/>
              </w:rPr>
            </w:pPr>
            <w:proofErr w:type="gramStart"/>
            <w:r w:rsidRPr="008D4956">
              <w:rPr>
                <w:rFonts w:ascii="Calibri" w:hAnsi="Calibri" w:cs="Calibri"/>
                <w:color w:val="333333"/>
                <w:lang w:val="pt-PT"/>
              </w:rPr>
              <w:t>Extensas áreas de África, América Latina, partes</w:t>
            </w:r>
            <w:proofErr w:type="gramEnd"/>
            <w:r w:rsidRPr="008D4956">
              <w:rPr>
                <w:rFonts w:ascii="Calibri" w:hAnsi="Calibri" w:cs="Calibri"/>
                <w:color w:val="333333"/>
                <w:lang w:val="pt-PT"/>
              </w:rPr>
              <w:t xml:space="preserve"> das Caraíbas, Ásia (incluindo o Sul da Ásia, Sudeste Asiático e Médio Oriente), Europa Oriental e Pacífico Sul</w:t>
            </w:r>
          </w:p>
          <w:p w:rsidR="000418D9" w:rsidRPr="00AA1A21" w:rsidRDefault="000418D9" w:rsidP="00B151C2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0418D9" w:rsidRPr="008D4956" w:rsidRDefault="000418D9" w:rsidP="00B151C2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Proveniente de mosquito; picada de Mosquito Anófeles </w:t>
            </w:r>
          </w:p>
          <w:p w:rsidR="000418D9" w:rsidRPr="00AA1A21" w:rsidRDefault="000418D9" w:rsidP="00B151C2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0418D9" w:rsidRDefault="000418D9"/>
    <w:tbl>
      <w:tblPr>
        <w:tblStyle w:val="Tabelacomgrelha"/>
        <w:tblpPr w:leftFromText="180" w:rightFromText="180" w:vertAnchor="page" w:horzAnchor="margin" w:tblpY="4130"/>
        <w:tblW w:w="14125" w:type="dxa"/>
        <w:tblLayout w:type="fixed"/>
        <w:tblLook w:val="04A0"/>
      </w:tblPr>
      <w:tblGrid>
        <w:gridCol w:w="1493"/>
        <w:gridCol w:w="4917"/>
        <w:gridCol w:w="1768"/>
        <w:gridCol w:w="2617"/>
        <w:gridCol w:w="3330"/>
      </w:tblGrid>
      <w:tr w:rsidR="00A86E3C" w:rsidRPr="00AA1A21" w:rsidTr="008D4956">
        <w:tc>
          <w:tcPr>
            <w:tcW w:w="1493" w:type="dxa"/>
            <w:shd w:val="clear" w:color="auto" w:fill="E7E6E6" w:themeFill="background2"/>
          </w:tcPr>
          <w:p w:rsidR="00A86E3C" w:rsidRPr="008D4956" w:rsidRDefault="008D4956" w:rsidP="008D49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49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Doença</w:t>
            </w:r>
          </w:p>
        </w:tc>
        <w:tc>
          <w:tcPr>
            <w:tcW w:w="4917" w:type="dxa"/>
            <w:shd w:val="clear" w:color="auto" w:fill="E7E6E6" w:themeFill="background2"/>
          </w:tcPr>
          <w:p w:rsidR="00A86E3C" w:rsidRPr="008D4956" w:rsidRDefault="008D4956" w:rsidP="008D49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49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Sinais e sintomas</w:t>
            </w:r>
          </w:p>
        </w:tc>
        <w:tc>
          <w:tcPr>
            <w:tcW w:w="1768" w:type="dxa"/>
            <w:shd w:val="clear" w:color="auto" w:fill="E7E6E6" w:themeFill="background2"/>
          </w:tcPr>
          <w:p w:rsidR="00A86E3C" w:rsidRPr="008D4956" w:rsidRDefault="008D4956" w:rsidP="008D49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49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Período de incubação</w:t>
            </w:r>
          </w:p>
        </w:tc>
        <w:tc>
          <w:tcPr>
            <w:tcW w:w="2617" w:type="dxa"/>
            <w:shd w:val="clear" w:color="auto" w:fill="E7E6E6" w:themeFill="background2"/>
          </w:tcPr>
          <w:p w:rsidR="00A86E3C" w:rsidRPr="008D4956" w:rsidRDefault="008D4956" w:rsidP="008D495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D49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Distribuição geográfica</w:t>
            </w:r>
          </w:p>
        </w:tc>
        <w:tc>
          <w:tcPr>
            <w:tcW w:w="3330" w:type="dxa"/>
            <w:shd w:val="clear" w:color="auto" w:fill="E7E6E6" w:themeFill="background2"/>
          </w:tcPr>
          <w:p w:rsidR="00A86E3C" w:rsidRPr="008D4956" w:rsidRDefault="008D4956" w:rsidP="008D495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49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Transmissão</w:t>
            </w:r>
          </w:p>
        </w:tc>
      </w:tr>
      <w:tr w:rsidR="00A86E3C" w:rsidRPr="00AA1A21" w:rsidTr="008D4956">
        <w:tc>
          <w:tcPr>
            <w:tcW w:w="1493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Sarampo</w:t>
            </w:r>
          </w:p>
        </w:tc>
        <w:tc>
          <w:tcPr>
            <w:tcW w:w="49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Febre alta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Fraqueza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Tosse 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Coriza (inflamação das membranas mucosas das fossas nasais)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Conjuntivite (inflamação das membranas oculares)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"Manchas de </w:t>
            </w:r>
            <w:proofErr w:type="spell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Koplik</w:t>
            </w:r>
            <w:proofErr w:type="spell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" - </w:t>
            </w:r>
            <w:proofErr w:type="gram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manchas</w:t>
            </w:r>
            <w:proofErr w:type="gram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brancas dentro da boca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Erupção maculopapular (algumas partes planas, outras com pápulas)</w:t>
            </w:r>
          </w:p>
        </w:tc>
        <w:tc>
          <w:tcPr>
            <w:tcW w:w="1768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7-21 </w:t>
            </w:r>
            <w:proofErr w:type="gram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(média de 14 dias para o aparecimento de erupções cutâneas)</w:t>
            </w:r>
          </w:p>
          <w:p w:rsidR="00A86E3C" w:rsidRPr="00AA1A21" w:rsidRDefault="00A86E3C" w:rsidP="00A86E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Os casos aparecem em todo o mundo mas já não são endémicos na maior parte da Europa e das Américas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Ainda existem casos relacionados com viagens nestas áreas</w:t>
            </w:r>
            <w:r w:rsidRPr="008D49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330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Através de uma pessoa que entra em contacto directo com gotículas infecciosas OU através de propagação por via aérea quando a pessoa infectada tosse ou espirra</w:t>
            </w:r>
          </w:p>
          <w:p w:rsidR="00A86E3C" w:rsidRPr="00AA1A21" w:rsidRDefault="00A86E3C" w:rsidP="00A86E3C">
            <w:pPr>
              <w:pStyle w:val="PargrafodaLista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86E3C" w:rsidRPr="00AA1A21" w:rsidTr="008D4956">
        <w:tc>
          <w:tcPr>
            <w:tcW w:w="1493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Meningite (meningococo ou outra bactéria)  </w:t>
            </w:r>
          </w:p>
        </w:tc>
        <w:tc>
          <w:tcPr>
            <w:tcW w:w="49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Aparecimento repentino de febre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Dor de cabeça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Pescoço rígido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Náusea e vómito (possível)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Aumento da sensibilidade à luz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Grave: convulsões</w:t>
            </w:r>
            <w:proofErr w:type="gram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,</w:t>
            </w:r>
            <w:proofErr w:type="gram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coma</w:t>
            </w:r>
          </w:p>
        </w:tc>
        <w:tc>
          <w:tcPr>
            <w:tcW w:w="1768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2-10 </w:t>
            </w:r>
            <w:proofErr w:type="gram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</w:t>
            </w: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(</w:t>
            </w: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média:</w:t>
            </w:r>
            <w:r w:rsidR="00A86E3C" w:rsidRPr="008D49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4 dias)</w:t>
            </w:r>
          </w:p>
        </w:tc>
        <w:tc>
          <w:tcPr>
            <w:tcW w:w="26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Ocorre em todo o mundo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Epidemias frequentes na “cintura de meningite” na África subsaariana, que é o meio do continente que se estende de oeste a leste</w:t>
            </w:r>
          </w:p>
        </w:tc>
        <w:tc>
          <w:tcPr>
            <w:tcW w:w="3330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De pessoa para pessoa, geralmente partilhando saliva ou cuspo uns com os outros (tosse, beijo) </w:t>
            </w:r>
            <w:r w:rsidRPr="008D49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86E3C" w:rsidRPr="00F25261" w:rsidRDefault="00A86E3C" w:rsidP="008D4956">
            <w:pPr>
              <w:pStyle w:val="PargrafodaLista"/>
              <w:keepNext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86E3C" w:rsidRPr="00AA1A21" w:rsidTr="008D4956">
        <w:tc>
          <w:tcPr>
            <w:tcW w:w="1493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Síndrome Respiratória do Médio Oriente (MERS)</w:t>
            </w:r>
          </w:p>
        </w:tc>
        <w:tc>
          <w:tcPr>
            <w:tcW w:w="49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Febre 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Tosse 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Falta de ar</w:t>
            </w:r>
          </w:p>
        </w:tc>
        <w:tc>
          <w:tcPr>
            <w:tcW w:w="1768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2-14 </w:t>
            </w:r>
            <w:proofErr w:type="gramStart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(geralmente 5-6 dias)</w:t>
            </w: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ab/>
            </w:r>
          </w:p>
        </w:tc>
        <w:tc>
          <w:tcPr>
            <w:tcW w:w="2617" w:type="dxa"/>
          </w:tcPr>
          <w:p w:rsidR="00A86E3C" w:rsidRPr="008D4956" w:rsidRDefault="008D4956" w:rsidP="008D4956">
            <w:pPr>
              <w:pStyle w:val="PargrafodaLista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Médio Oriente, especialmente Arábia Saudita</w:t>
            </w:r>
          </w:p>
        </w:tc>
        <w:tc>
          <w:tcPr>
            <w:tcW w:w="3330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De pessoa para pessoa através do contacto com secreções respiratórias (por exemplo, tosse) </w:t>
            </w:r>
            <w:r w:rsidRPr="008D49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Potencial contacto directo com camelos</w:t>
            </w:r>
          </w:p>
        </w:tc>
      </w:tr>
      <w:tr w:rsidR="00A86E3C" w:rsidRPr="00AA1A21" w:rsidTr="008D4956">
        <w:tc>
          <w:tcPr>
            <w:tcW w:w="1493" w:type="dxa"/>
          </w:tcPr>
          <w:p w:rsidR="00A86E3C" w:rsidRPr="008D4956" w:rsidRDefault="008D4956" w:rsidP="008D4956">
            <w:p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Tuberculose (TB)</w:t>
            </w:r>
          </w:p>
        </w:tc>
        <w:tc>
          <w:tcPr>
            <w:tcW w:w="4917" w:type="dxa"/>
          </w:tcPr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Apenas 5-10% das pessoas infectadas progridem para a doença da tuberculose activa; apenas a doença da tuberculose activa é infecciosa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Perda de peso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Febre 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Suores nocturnos </w:t>
            </w:r>
          </w:p>
          <w:p w:rsidR="008D4956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Hemoptise (tossir sangue)</w:t>
            </w:r>
          </w:p>
          <w:p w:rsidR="00A86E3C" w:rsidRPr="008D4956" w:rsidRDefault="008D4956" w:rsidP="008D4956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8D4956">
              <w:rPr>
                <w:rFonts w:ascii="Calibri" w:hAnsi="Calibri" w:cs="Calibri"/>
                <w:sz w:val="20"/>
                <w:szCs w:val="20"/>
                <w:lang w:val="pt-PT"/>
              </w:rPr>
              <w:t>Dor de peito</w:t>
            </w:r>
          </w:p>
        </w:tc>
        <w:tc>
          <w:tcPr>
            <w:tcW w:w="1768" w:type="dxa"/>
          </w:tcPr>
          <w:p w:rsidR="00A86E3C" w:rsidRPr="00307DC5" w:rsidRDefault="00307DC5" w:rsidP="00307DC5">
            <w:p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2-12 </w:t>
            </w:r>
            <w:proofErr w:type="gramStart"/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semanas</w:t>
            </w:r>
            <w:proofErr w:type="gramEnd"/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desde a infecção até ao desenvolvimento de teste cutâneo positivo; o risco de doença activa é mais elevado nos primeiros 2 anos após a infecção, mas a doença pode levar anos a desenvolver</w:t>
            </w:r>
          </w:p>
          <w:p w:rsidR="00A86E3C" w:rsidRPr="00F25261" w:rsidRDefault="00A86E3C" w:rsidP="00A86E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17" w:type="dxa"/>
          </w:tcPr>
          <w:p w:rsidR="00A86E3C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A nível mundial; as incidências mais elevadas encontram-se na África Subsaariana e no Sudeste Asiático</w:t>
            </w:r>
          </w:p>
        </w:tc>
        <w:tc>
          <w:tcPr>
            <w:tcW w:w="3330" w:type="dxa"/>
          </w:tcPr>
          <w:p w:rsidR="00307DC5" w:rsidRPr="00307DC5" w:rsidRDefault="00307DC5" w:rsidP="00307DC5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De pessoa para pessoa através da propagação de gotícula respiratória (tossindo, cantando, etc.)</w:t>
            </w:r>
          </w:p>
          <w:p w:rsidR="00A86E3C" w:rsidRPr="00DD55DA" w:rsidRDefault="00A86E3C" w:rsidP="00A86E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86E3C" w:rsidRPr="00AA1A21" w:rsidTr="008D4956">
        <w:tc>
          <w:tcPr>
            <w:tcW w:w="1493" w:type="dxa"/>
          </w:tcPr>
          <w:p w:rsidR="00A86E3C" w:rsidRPr="00307DC5" w:rsidRDefault="00307DC5" w:rsidP="00307DC5">
            <w:p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Febre-amarela</w:t>
            </w:r>
          </w:p>
        </w:tc>
        <w:tc>
          <w:tcPr>
            <w:tcW w:w="4917" w:type="dxa"/>
          </w:tcPr>
          <w:p w:rsidR="00307DC5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A maioria das pessoas não apresenta sintomas</w:t>
            </w:r>
          </w:p>
          <w:p w:rsid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Febre e calafrios</w:t>
            </w:r>
            <w:r w:rsidRPr="00307DC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307DC5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Dores de cabeça fortes</w:t>
            </w:r>
          </w:p>
          <w:p w:rsidR="00307DC5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Dores das costas/dor de corpo generalizada</w:t>
            </w:r>
          </w:p>
          <w:p w:rsidR="00307DC5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Náusea e vómito </w:t>
            </w:r>
          </w:p>
          <w:p w:rsidR="00A86E3C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em</w:t>
            </w:r>
            <w:proofErr w:type="gramEnd"/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cada 7 pessoas experienciará uma recuperação inicial seguida de sintomas graves: febre, icterícia, hemorragia, choque e falência de órgãos</w:t>
            </w:r>
            <w:r w:rsidRPr="00307DC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68" w:type="dxa"/>
          </w:tcPr>
          <w:p w:rsidR="00A86E3C" w:rsidRPr="00307DC5" w:rsidRDefault="00307DC5" w:rsidP="00307DC5">
            <w:p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3-6 </w:t>
            </w:r>
            <w:proofErr w:type="gramStart"/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dias</w:t>
            </w:r>
            <w:proofErr w:type="gramEnd"/>
          </w:p>
          <w:p w:rsidR="00A86E3C" w:rsidRPr="00F25261" w:rsidRDefault="00A86E3C" w:rsidP="00A86E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17" w:type="dxa"/>
          </w:tcPr>
          <w:p w:rsidR="00A86E3C" w:rsidRPr="00307DC5" w:rsidRDefault="00307DC5" w:rsidP="00307DC5">
            <w:pPr>
              <w:pStyle w:val="PargrafodaLista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>África Subsariana e América do Sul tropical</w:t>
            </w:r>
          </w:p>
        </w:tc>
        <w:tc>
          <w:tcPr>
            <w:tcW w:w="3330" w:type="dxa"/>
          </w:tcPr>
          <w:p w:rsidR="00307DC5" w:rsidRPr="00307DC5" w:rsidRDefault="00307DC5" w:rsidP="00307DC5">
            <w:pPr>
              <w:pStyle w:val="PargrafodaLista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307DC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Veiculado por mosquitos; picada do mosquito </w:t>
            </w:r>
            <w:r w:rsidRPr="00307DC5">
              <w:rPr>
                <w:rFonts w:ascii="Calibri" w:hAnsi="Calibri" w:cs="Calibri"/>
                <w:i/>
                <w:sz w:val="20"/>
                <w:szCs w:val="20"/>
                <w:lang w:val="pt-PT"/>
              </w:rPr>
              <w:t>Aedes aegypti</w:t>
            </w:r>
          </w:p>
          <w:p w:rsidR="00A86E3C" w:rsidRPr="00F25261" w:rsidRDefault="00A86E3C" w:rsidP="00A86E3C">
            <w:pPr>
              <w:pStyle w:val="PargrafodaLista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360229" w:rsidRDefault="00360229" w:rsidP="00AA1A21"/>
    <w:p w:rsidR="008D4956" w:rsidRDefault="008D4956" w:rsidP="00AA1A21"/>
    <w:p w:rsidR="00A86E3C" w:rsidRDefault="00A86E3C" w:rsidP="00AA1A21"/>
    <w:p w:rsidR="00A86E3C" w:rsidRDefault="00A86E3C" w:rsidP="00AA1A21"/>
    <w:p w:rsidR="00A86E3C" w:rsidRDefault="00A86E3C" w:rsidP="00AA1A21"/>
    <w:p w:rsidR="00A86E3C" w:rsidRDefault="00A86E3C" w:rsidP="00AA1A21"/>
    <w:p w:rsidR="00360229" w:rsidRDefault="00360229" w:rsidP="00AA1A21"/>
    <w:p w:rsidR="00AA1A21" w:rsidRDefault="00AA1A21" w:rsidP="00AA1A21"/>
    <w:sectPr w:rsidR="00AA1A21" w:rsidSect="00712E9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A45" w:rsidRDefault="008D2A45" w:rsidP="00432DF2">
      <w:pPr>
        <w:spacing w:after="0" w:line="240" w:lineRule="auto"/>
      </w:pPr>
      <w:r>
        <w:separator/>
      </w:r>
    </w:p>
  </w:endnote>
  <w:endnote w:type="continuationSeparator" w:id="0">
    <w:p w:rsidR="008D2A45" w:rsidRDefault="008D2A45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A45" w:rsidRDefault="008D2A45" w:rsidP="00432DF2">
      <w:pPr>
        <w:spacing w:after="0" w:line="240" w:lineRule="auto"/>
      </w:pPr>
      <w:r>
        <w:separator/>
      </w:r>
    </w:p>
  </w:footnote>
  <w:footnote w:type="continuationSeparator" w:id="0">
    <w:p w:rsidR="008D2A45" w:rsidRDefault="008D2A45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E8" w:rsidRPr="00712E97" w:rsidRDefault="00B40EE8" w:rsidP="00712E97">
    <w:pPr>
      <w:pStyle w:val="Cabealho"/>
      <w:jc w:val="center"/>
      <w:rPr>
        <w:sz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5F9"/>
    <w:multiLevelType w:val="hybridMultilevel"/>
    <w:tmpl w:val="90AA631C"/>
    <w:lvl w:ilvl="0" w:tplc="A5EE4C9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B3C569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A32A9A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AD3D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9CEE4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E0EFF5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2ACF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FFCDB1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EE64E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83D9D"/>
    <w:multiLevelType w:val="hybridMultilevel"/>
    <w:tmpl w:val="9D7042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A023AA"/>
    <w:multiLevelType w:val="hybridMultilevel"/>
    <w:tmpl w:val="D3645B98"/>
    <w:lvl w:ilvl="0" w:tplc="4386B9CA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28884066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DA4C56B6">
      <w:start w:val="6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1A5C9B14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D730E6B2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D70EB148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C4B6F2D8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CD042CE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6284EB5C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5">
    <w:nsid w:val="0CCE6D0B"/>
    <w:multiLevelType w:val="hybridMultilevel"/>
    <w:tmpl w:val="15025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714851"/>
    <w:multiLevelType w:val="hybridMultilevel"/>
    <w:tmpl w:val="0010DF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71DD6"/>
    <w:multiLevelType w:val="hybridMultilevel"/>
    <w:tmpl w:val="9D7C3952"/>
    <w:lvl w:ilvl="0" w:tplc="4A5C072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AF228F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168E0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1B64E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EF4D1D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3C8C8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FB6531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AD465C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CE44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18FC2278"/>
    <w:multiLevelType w:val="hybridMultilevel"/>
    <w:tmpl w:val="1EBC5644"/>
    <w:lvl w:ilvl="0" w:tplc="029A461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F0BD7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2A627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3D8571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E6A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16551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E36030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62584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514A05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1A8D530E"/>
    <w:multiLevelType w:val="hybridMultilevel"/>
    <w:tmpl w:val="FD5C38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290771"/>
    <w:multiLevelType w:val="hybridMultilevel"/>
    <w:tmpl w:val="37E4A0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85369C"/>
    <w:multiLevelType w:val="hybridMultilevel"/>
    <w:tmpl w:val="593A740C"/>
    <w:lvl w:ilvl="0" w:tplc="652CE9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8724A8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43219A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80B6A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1A2B9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EF690E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64EC50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7CE57F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0D4E9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1881FCC"/>
    <w:multiLevelType w:val="hybridMultilevel"/>
    <w:tmpl w:val="DE9822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294291"/>
    <w:multiLevelType w:val="hybridMultilevel"/>
    <w:tmpl w:val="F64C6D62"/>
    <w:lvl w:ilvl="0" w:tplc="C5CCBEA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148FCB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034A2B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0E407C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6853E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BD000D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9EBAD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7A486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7F0EC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22625268"/>
    <w:multiLevelType w:val="hybridMultilevel"/>
    <w:tmpl w:val="66683946"/>
    <w:lvl w:ilvl="0" w:tplc="B5840A1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496217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70E7A8">
      <w:start w:val="6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C80EF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B8C02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8362A1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C9C7B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4F063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0808E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29003228"/>
    <w:multiLevelType w:val="hybridMultilevel"/>
    <w:tmpl w:val="A55C6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7F05E1"/>
    <w:multiLevelType w:val="hybridMultilevel"/>
    <w:tmpl w:val="6E680F54"/>
    <w:lvl w:ilvl="0" w:tplc="867E1A6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2D639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080D62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D00289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605E1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68C47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D9C36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1944A0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06EA4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ED55678"/>
    <w:multiLevelType w:val="hybridMultilevel"/>
    <w:tmpl w:val="F836BA4E"/>
    <w:lvl w:ilvl="0" w:tplc="CB5037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B0D53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E82C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2E06E3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CC42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A0A9B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37E44D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E2E7D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8FE5DB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EB0124"/>
    <w:multiLevelType w:val="hybridMultilevel"/>
    <w:tmpl w:val="FA9E14FC"/>
    <w:lvl w:ilvl="0" w:tplc="57C4667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10EC5F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FBAE13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6CD20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48A8C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44D3E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0056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1521D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86C08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401388D"/>
    <w:multiLevelType w:val="hybridMultilevel"/>
    <w:tmpl w:val="5A7481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8752480"/>
    <w:multiLevelType w:val="hybridMultilevel"/>
    <w:tmpl w:val="13924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C40CAA"/>
    <w:multiLevelType w:val="hybridMultilevel"/>
    <w:tmpl w:val="F91C3852"/>
    <w:lvl w:ilvl="0" w:tplc="F468CDA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8A8F22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DF25FC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4CE4E0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A746C0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C8C72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2149F6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D82BE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5B0B3F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3EA17326"/>
    <w:multiLevelType w:val="hybridMultilevel"/>
    <w:tmpl w:val="B5E809E8"/>
    <w:lvl w:ilvl="0" w:tplc="5C9641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F98C10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3D6B35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360D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9209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6F048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65A660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120B14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6EDEA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431703BE"/>
    <w:multiLevelType w:val="hybridMultilevel"/>
    <w:tmpl w:val="99BA0D1C"/>
    <w:lvl w:ilvl="0" w:tplc="5DCCBE1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34E0D8C">
      <w:start w:val="6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BC9F5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69EBE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728CF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36475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87A2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3E596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240544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43CB77AB"/>
    <w:multiLevelType w:val="hybridMultilevel"/>
    <w:tmpl w:val="56C082E6"/>
    <w:lvl w:ilvl="0" w:tplc="1102B98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F2EEF1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CC378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EE2240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57ABA1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5EEF1A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4AE1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058C87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24A0D1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47107005"/>
    <w:multiLevelType w:val="hybridMultilevel"/>
    <w:tmpl w:val="8196C70C"/>
    <w:lvl w:ilvl="0" w:tplc="BD1A1B6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63A95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0DE01F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98107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3D6E3E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EC8215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4CCD9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510FF6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764E7D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7D5825"/>
    <w:multiLevelType w:val="hybridMultilevel"/>
    <w:tmpl w:val="96524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2F4F36"/>
    <w:multiLevelType w:val="hybridMultilevel"/>
    <w:tmpl w:val="0A909832"/>
    <w:lvl w:ilvl="0" w:tplc="57802D7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9A8BAF4">
      <w:start w:val="6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844524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2857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166434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6B27D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E27CC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5A023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E8030D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4F095816"/>
    <w:multiLevelType w:val="hybridMultilevel"/>
    <w:tmpl w:val="2C6A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675503"/>
    <w:multiLevelType w:val="hybridMultilevel"/>
    <w:tmpl w:val="55AABBDA"/>
    <w:lvl w:ilvl="0" w:tplc="1A0A5BA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E0DA32">
      <w:start w:val="6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CED9D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30491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4E62F5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7633D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FA64BB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367C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7279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587F5BC5"/>
    <w:multiLevelType w:val="hybridMultilevel"/>
    <w:tmpl w:val="D27A29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0DF1571"/>
    <w:multiLevelType w:val="hybridMultilevel"/>
    <w:tmpl w:val="AE00D8B2"/>
    <w:lvl w:ilvl="0" w:tplc="A276FB9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2B2602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003FD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5B6286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E10B9C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8E21D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B6DB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03036E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E05D1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>
    <w:nsid w:val="681B3367"/>
    <w:multiLevelType w:val="hybridMultilevel"/>
    <w:tmpl w:val="8C32CFF2"/>
    <w:lvl w:ilvl="0" w:tplc="2768288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1AC22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B42A1E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E66FC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C7424E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1C4F3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708001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A2527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12605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6AF75EA6"/>
    <w:multiLevelType w:val="hybridMultilevel"/>
    <w:tmpl w:val="9C2E1656"/>
    <w:lvl w:ilvl="0" w:tplc="622EF9B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E54C7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264E59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1A26C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D5C96C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04862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6B425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D98D4E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9C0C56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70775FB9"/>
    <w:multiLevelType w:val="hybridMultilevel"/>
    <w:tmpl w:val="0F78C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D01556"/>
    <w:multiLevelType w:val="hybridMultilevel"/>
    <w:tmpl w:val="84F2B5DE"/>
    <w:lvl w:ilvl="0" w:tplc="967A338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CB8FDD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B66E96">
      <w:start w:val="6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68589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40AE91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2B89E4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4E03A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DE88C0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98579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79DF2CFE"/>
    <w:multiLevelType w:val="hybridMultilevel"/>
    <w:tmpl w:val="70C019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B11311"/>
    <w:multiLevelType w:val="hybridMultilevel"/>
    <w:tmpl w:val="5380A682"/>
    <w:lvl w:ilvl="0" w:tplc="6A4EC89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0A35A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B0219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D2320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3DCC83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8E95E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85672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3068CF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56EC60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7DD51EF9"/>
    <w:multiLevelType w:val="hybridMultilevel"/>
    <w:tmpl w:val="02189332"/>
    <w:lvl w:ilvl="0" w:tplc="7C6A7F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06E8A5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D34491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D5089A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94CE29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8F8AAF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2B296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F6C1A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52BF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42"/>
  </w:num>
  <w:num w:numId="4">
    <w:abstractNumId w:val="3"/>
  </w:num>
  <w:num w:numId="5">
    <w:abstractNumId w:val="27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20"/>
  </w:num>
  <w:num w:numId="12">
    <w:abstractNumId w:val="32"/>
  </w:num>
  <w:num w:numId="13">
    <w:abstractNumId w:val="30"/>
  </w:num>
  <w:num w:numId="14">
    <w:abstractNumId w:val="38"/>
  </w:num>
  <w:num w:numId="15">
    <w:abstractNumId w:val="19"/>
  </w:num>
  <w:num w:numId="16">
    <w:abstractNumId w:val="22"/>
  </w:num>
  <w:num w:numId="17">
    <w:abstractNumId w:val="37"/>
  </w:num>
  <w:num w:numId="18">
    <w:abstractNumId w:val="15"/>
  </w:num>
  <w:num w:numId="19">
    <w:abstractNumId w:val="2"/>
  </w:num>
  <w:num w:numId="20">
    <w:abstractNumId w:val="10"/>
  </w:num>
  <w:num w:numId="21">
    <w:abstractNumId w:val="35"/>
  </w:num>
  <w:num w:numId="22">
    <w:abstractNumId w:val="41"/>
  </w:num>
  <w:num w:numId="23">
    <w:abstractNumId w:val="0"/>
  </w:num>
  <w:num w:numId="24">
    <w:abstractNumId w:val="40"/>
  </w:num>
  <w:num w:numId="25">
    <w:abstractNumId w:val="36"/>
  </w:num>
  <w:num w:numId="26">
    <w:abstractNumId w:val="16"/>
  </w:num>
  <w:num w:numId="27">
    <w:abstractNumId w:val="17"/>
  </w:num>
  <w:num w:numId="28">
    <w:abstractNumId w:val="29"/>
  </w:num>
  <w:num w:numId="29">
    <w:abstractNumId w:val="7"/>
  </w:num>
  <w:num w:numId="30">
    <w:abstractNumId w:val="24"/>
  </w:num>
  <w:num w:numId="31">
    <w:abstractNumId w:val="31"/>
  </w:num>
  <w:num w:numId="32">
    <w:abstractNumId w:val="25"/>
  </w:num>
  <w:num w:numId="33">
    <w:abstractNumId w:val="21"/>
  </w:num>
  <w:num w:numId="34">
    <w:abstractNumId w:val="14"/>
  </w:num>
  <w:num w:numId="35">
    <w:abstractNumId w:val="8"/>
  </w:num>
  <w:num w:numId="36">
    <w:abstractNumId w:val="34"/>
  </w:num>
  <w:num w:numId="37">
    <w:abstractNumId w:val="23"/>
  </w:num>
  <w:num w:numId="38">
    <w:abstractNumId w:val="26"/>
  </w:num>
  <w:num w:numId="39">
    <w:abstractNumId w:val="12"/>
  </w:num>
  <w:num w:numId="40">
    <w:abstractNumId w:val="9"/>
  </w:num>
  <w:num w:numId="41">
    <w:abstractNumId w:val="5"/>
  </w:num>
  <w:num w:numId="42">
    <w:abstractNumId w:val="39"/>
  </w:num>
  <w:num w:numId="43">
    <w:abstractNumId w:val="6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46285"/>
    <w:rsid w:val="00020775"/>
    <w:rsid w:val="000418D9"/>
    <w:rsid w:val="00063B26"/>
    <w:rsid w:val="000E21B5"/>
    <w:rsid w:val="00135E15"/>
    <w:rsid w:val="001525A2"/>
    <w:rsid w:val="00165C81"/>
    <w:rsid w:val="001A4D49"/>
    <w:rsid w:val="00231739"/>
    <w:rsid w:val="0025407A"/>
    <w:rsid w:val="00256A2B"/>
    <w:rsid w:val="002658FF"/>
    <w:rsid w:val="00284B73"/>
    <w:rsid w:val="00307DC5"/>
    <w:rsid w:val="00360229"/>
    <w:rsid w:val="004056D3"/>
    <w:rsid w:val="00432DF2"/>
    <w:rsid w:val="004916E7"/>
    <w:rsid w:val="004B1B30"/>
    <w:rsid w:val="004F676B"/>
    <w:rsid w:val="005263D3"/>
    <w:rsid w:val="00593DAB"/>
    <w:rsid w:val="005E62E8"/>
    <w:rsid w:val="006B365C"/>
    <w:rsid w:val="00712E97"/>
    <w:rsid w:val="0081673F"/>
    <w:rsid w:val="00841631"/>
    <w:rsid w:val="008D2A45"/>
    <w:rsid w:val="008D4956"/>
    <w:rsid w:val="008F09A7"/>
    <w:rsid w:val="00946285"/>
    <w:rsid w:val="009F5FAF"/>
    <w:rsid w:val="00A20923"/>
    <w:rsid w:val="00A27278"/>
    <w:rsid w:val="00A86E3C"/>
    <w:rsid w:val="00AA1A21"/>
    <w:rsid w:val="00AD090F"/>
    <w:rsid w:val="00B365E4"/>
    <w:rsid w:val="00B40EE8"/>
    <w:rsid w:val="00B6648F"/>
    <w:rsid w:val="00BA6C0E"/>
    <w:rsid w:val="00BF3103"/>
    <w:rsid w:val="00C75508"/>
    <w:rsid w:val="00CB6A74"/>
    <w:rsid w:val="00CF4DE4"/>
    <w:rsid w:val="00D05432"/>
    <w:rsid w:val="00D1047E"/>
    <w:rsid w:val="00D26908"/>
    <w:rsid w:val="00D328AC"/>
    <w:rsid w:val="00DD55DA"/>
    <w:rsid w:val="00E75D77"/>
    <w:rsid w:val="00F1003F"/>
    <w:rsid w:val="00F25261"/>
    <w:rsid w:val="00FC70C6"/>
    <w:rsid w:val="00FE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AC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32DF2"/>
  </w:style>
  <w:style w:type="paragraph" w:styleId="Rodap">
    <w:name w:val="footer"/>
    <w:basedOn w:val="Normal"/>
    <w:link w:val="Rodap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32DF2"/>
  </w:style>
  <w:style w:type="table" w:styleId="Tabelacomgrelha">
    <w:name w:val="Table Grid"/>
    <w:basedOn w:val="Tabelanormal"/>
    <w:uiPriority w:val="39"/>
    <w:rsid w:val="0043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32DF2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256A2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56A2B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56A2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56A2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56A2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0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14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75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42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483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92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7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792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82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60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27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27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41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7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21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017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49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97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942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395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17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6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8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014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4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1020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4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75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41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927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1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61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5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8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26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62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50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960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047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677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904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872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98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689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13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88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83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8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88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157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751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2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71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7482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500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61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7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58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49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36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9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51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9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9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96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3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41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17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640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50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18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30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919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8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35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254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88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852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106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42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61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32D5D-9A81-42CA-9E5F-C25B4C9F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1210</Words>
  <Characters>6069</Characters>
  <Application>Microsoft Office Word</Application>
  <DocSecurity>0</DocSecurity>
  <Lines>357</Lines>
  <Paragraphs>202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3</cp:revision>
  <dcterms:created xsi:type="dcterms:W3CDTF">2021-08-22T15:43:00Z</dcterms:created>
  <dcterms:modified xsi:type="dcterms:W3CDTF">2021-08-22T15:46:00Z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2021-04-26T21:00:16Z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60f94541-96fc-4a69-8ae6-d3d3618645a5</vt:lpwstr>
  </property>
  <property fmtid="{D5CDD505-2E9C-101B-9397-08002B2CF9AE}" pid="8" name="MSIP_Label_7b94a7b8-f06c-4dfe-bdcc-9b548fd58c31_ContentBits">
    <vt:lpwstr>0</vt:lpwstr>
  </property>
</Properties>
</file>